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79" w:rsidRPr="00F15E79" w:rsidRDefault="00F15E79" w:rsidP="00F15E79">
      <w:pPr>
        <w:widowControl/>
        <w:shd w:val="clear" w:color="auto" w:fill="FFFFFF"/>
        <w:spacing w:after="100" w:afterAutospacing="1"/>
        <w:jc w:val="center"/>
        <w:outlineLvl w:val="0"/>
        <w:rPr>
          <w:rFonts w:ascii="inherit" w:eastAsia="Microsoft YaHei" w:hAnsi="inherit" w:cs="SimSun"/>
          <w:b/>
          <w:bCs/>
          <w:color w:val="555555"/>
          <w:kern w:val="36"/>
          <w:sz w:val="36"/>
          <w:szCs w:val="36"/>
        </w:rPr>
      </w:pPr>
      <w:r w:rsidRPr="00F15E79">
        <w:rPr>
          <w:rFonts w:ascii="inherit" w:eastAsia="Microsoft YaHei" w:hAnsi="inherit" w:cs="SimSun"/>
          <w:b/>
          <w:bCs/>
          <w:color w:val="555555"/>
          <w:kern w:val="36"/>
          <w:sz w:val="36"/>
          <w:szCs w:val="36"/>
        </w:rPr>
        <w:t>天津商业大学</w:t>
      </w:r>
      <w:r w:rsidRPr="00F15E79">
        <w:rPr>
          <w:rFonts w:ascii="inherit" w:eastAsia="Microsoft YaHei" w:hAnsi="inherit" w:cs="SimSun"/>
          <w:b/>
          <w:bCs/>
          <w:color w:val="555555"/>
          <w:kern w:val="36"/>
          <w:sz w:val="36"/>
          <w:szCs w:val="36"/>
        </w:rPr>
        <w:t>2021</w:t>
      </w:r>
      <w:r w:rsidRPr="00F15E79">
        <w:rPr>
          <w:rFonts w:ascii="inherit" w:eastAsia="Microsoft YaHei" w:hAnsi="inherit" w:cs="SimSun"/>
          <w:b/>
          <w:bCs/>
          <w:color w:val="555555"/>
          <w:kern w:val="36"/>
          <w:sz w:val="36"/>
          <w:szCs w:val="36"/>
        </w:rPr>
        <w:t>年招收台湾免试生简章</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color w:val="555555"/>
          <w:kern w:val="0"/>
          <w:sz w:val="28"/>
          <w:szCs w:val="28"/>
        </w:rPr>
      </w:pPr>
      <w:r w:rsidRPr="00F15E79">
        <w:rPr>
          <w:rFonts w:ascii="Microsoft YaHei" w:eastAsia="Microsoft YaHei" w:hAnsi="Microsoft YaHei" w:cs="SimSun" w:hint="eastAsia"/>
          <w:b/>
          <w:bCs/>
          <w:color w:val="555555"/>
          <w:kern w:val="0"/>
          <w:sz w:val="28"/>
          <w:szCs w:val="28"/>
        </w:rPr>
        <w:t>一、 学校简介</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天津商业大学原名天津商学院，由国家商业部和天津市人民政府于1980年创建。1998年学校实行中央与地方共建、以地方管理为主的管理体制。2007年学校更名为天津商业大学。</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位于天津市北辰区光荣道409号，占地面积近1340亩，建筑面积近51万平方米，教学科研仪器设备总值5.46亿元。图书馆现有中外文藏书214.55万册，每年订阅中外文报刊1140种（册），中外文数据库99个，电子图书508.55万册。</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在校生2.27万余人，设有机械工程学院、经济学院、管理学院、会计学院、生物技术与食品科学学院、法学院、公共管理学院、马克思主义学院、外国语学院、理学院、信息工程学院、国际教育合作学院、艺术学院、高职与继续教育学院14个学院和大学外语教学部、基础课教学部、体育教学部3个教学部。现有59个本科专业（方向），67个硕士点，其中一级学科硕士点10个，专业学位硕士点10个。学校具有推荐优秀应届本科毕业生免试攻读研究生资格，以及港澳台研究生招生资格和同等学力人员申请硕士学位授予权。</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学校坚持以学科建设为龙头，经济学、管理学、工学、法学、文学、理学、艺术学等学科门类协调发展，相互支撑，具有鲜明的</w:t>
      </w:r>
      <w:r w:rsidRPr="00F15E79">
        <w:rPr>
          <w:rFonts w:ascii="Microsoft YaHei" w:eastAsia="Microsoft YaHei" w:hAnsi="Microsoft YaHei" w:cs="SimSun" w:hint="eastAsia"/>
          <w:color w:val="555555"/>
          <w:kern w:val="0"/>
          <w:sz w:val="28"/>
          <w:szCs w:val="28"/>
        </w:rPr>
        <w:lastRenderedPageBreak/>
        <w:t>商科特色。动力工程及工程热物理学科入选天津市一流学科建设名单，冷链物流、现代服务业学科群入选天津市特色学科群建设名单。学校现有7个市级重点学科、1个教育部工程研究中心、1个天津市工程中心、2个天津市重点实验室、2个国际联合研究中心，2个天津市人文社会科学重点研究基地、2个天津市高校智库，另建有多个校级研究院、所、中心。</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坚持培养具有高度社会责任感、深厚商学素养的复合型应用型创新创业人才，建立起了“意识、知识、能力、体验”四位一体的创新创业教育体系。学校拥有国家级精品资源共享课1门，市级精品课16门。3个专业获批国家级一流本科专业建设点、8个专业获批天津市级一流本科专业建设点。建有4个国家级特色专业，11个天津市品牌专业，5个天津市战略性新兴产业相关专业，8个专业为天津市优势特色专业建设项目，12个专业为天津市应用型专业建设项目。金融学专业为国家级专业综合改革试点专业，食品科学与工程专业为国家第一批卓越农林人才教育培养计划改革试点专业，能源与动力工程专业为天津市综合改革试点专业、天津市“卓越工程师人才培养”试点专业。</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建有“国际酒店管理”国家级人才培养模式创新实验区，中国旅游及饭店业优秀人才培养基地，“天津商业大学-烟台冰轮股份有限公司工程实践教育中心”国家大学生校外实践教育基地。拥有国家级实验教学示范中心2个，天津市级实验教学示范中心（含</w:t>
      </w:r>
      <w:r w:rsidRPr="00F15E79">
        <w:rPr>
          <w:rFonts w:ascii="Microsoft YaHei" w:eastAsia="Microsoft YaHei" w:hAnsi="Microsoft YaHei" w:cs="SimSun" w:hint="eastAsia"/>
          <w:color w:val="555555"/>
          <w:kern w:val="0"/>
          <w:sz w:val="28"/>
          <w:szCs w:val="28"/>
        </w:rPr>
        <w:lastRenderedPageBreak/>
        <w:t>建设单位）10个，天津市级虚拟仿真教学实验中心1个，天津市A级(优秀)高校众创空间1个。近年获市级教学名师奖11人，市级教学创新团队2个，市级教学团队11个。</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坚持实施“人才强校”战略，有一支高水平的师资队伍。现有专任教师972名，其中正高级148名，副高级287名；具有博士学位者447名，硕士学位者448名。拥有教育部长江学者奖励计划特聘教授1人、国家万人计划领军人才1人、享受政府特殊津贴专家4人、“新世纪百千万人才工 程”国家级人选1人、教育部“新世纪优秀人才支持计划”人选3人、天津市有突出贡献专家2人、天津市“131”创新型人才培养第一层次人选9人、天津市“五个一批”人才5人、天津市创新人才推进计划中青年科技创新领军人才1人，天津市“131”创新型人才培养团队1个、天津市高等学校创新团队5个，现有兼职博导19名，合作博导11名。</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坚持国际化发展，推进国际交流与合作，先后与美国、俄罗斯、澳大利亚、加拿大、法国、日本、韩国、罗马尼亚、波兰等国家的30多所高校建立了紧密型合作伙伴关系，开展多种形式的合作交流。与美国佛罗里达国际大学、澳大利亚查理斯特大学、美国东密西根大学等学校开展了本科和硕士研究生层次的合作办学，合作办学项目顺利通过教育部中外合作办学项目评估，酒店管理（中美合作）专业被武汉大学中国教育质量评价中心、中国科学评</w:t>
      </w:r>
      <w:r w:rsidRPr="00F15E79">
        <w:rPr>
          <w:rFonts w:ascii="Microsoft YaHei" w:eastAsia="Microsoft YaHei" w:hAnsi="Microsoft YaHei" w:cs="SimSun" w:hint="eastAsia"/>
          <w:color w:val="555555"/>
          <w:kern w:val="0"/>
          <w:sz w:val="28"/>
          <w:szCs w:val="28"/>
        </w:rPr>
        <w:lastRenderedPageBreak/>
        <w:t>价研究中心评为2014-2015年、2017-2018年中国酒店管理专业大学竞争力排行榜第一名。</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学校全面贯彻党的教育方针，坚持立德树人根本任务，秉承“育经世之商才，授致用之术业”的办学理念，以“笃学 弘毅 明德 济世”为校训，立足区域性、应用型、商科特色的办学定位，坚持创新发展、协调发展、内涵发展、特色发展、转型发展、开放发展，建设商科特色鲜明、对接社会需求的高水平大学，服务经济社会发展。</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二、申请条件</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1. 具有《台湾居民居住证》或《台湾居民来往大陆通行证》、以及在台湾居住的有效身份证明；</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2. 身体健康，品行端正；</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3. 参加2021年台湾地区大学入学考试学科能力测试（简称“学测”），语文、数学、英文考试科目中任意一科达到均标级以上的台湾高中毕业生。</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三、招生专业与人数</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2021年我校招生人数视申请人数和水平确定。申请者可在公布的招生专业中选填1-2个专业志愿（具体招生专业见附件一）。</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lastRenderedPageBreak/>
        <w:t>四、申请材料与方式</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1. 《天津商业大学台湾免试生入学申请表》（见附件二）；</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2. 台湾地区大学入学考试学科能力测验考生成绩通知单（含报名序号，需加盖学校公章）；</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3. 台湾居民居住证或《台湾居民来往大陆通行证》及在台湾居住的有效身份证明；</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4. 往届毕业生需提供毕业证书，应届毕业生需提供所在中学开具的成绩单及在读证明或预毕业证明，证明上应注明学籍号并加盖学校公章；</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5. 申请者须授权教育部考试中心查验、核准学测成绩等信息，并提交本人签字或签章的《个人成绩查询授权委托书》（见附件三）；</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6. “学测”成绩公证认证相关材料；</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7.个人陈述（600字以内，可包含个人兴趣爱好、大学学习生活设想、未来职业理想、选择天津商业大学理由等）；</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8.其他能够体现申请者能力水平的相关证明材料（仅限高中阶段）。</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lastRenderedPageBreak/>
        <w:t>申请者于2021年4月30日之前将以上材料原件扫描并发送至指定联系邮箱（文件名以“姓名+台湾免试生申请材料”命名）。申请者须确保电子文件清晰可读，无需邮寄申请材料。</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五、选拔方式</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学校根据申请者提供的材料进行初审，初审合格者进入复试环节。复试时间定于5月中下旬，具体时间、内容及形式将于5月7日前通过报名邮箱通知初审合格者。</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六、录取与报到</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将根据申请者提供的材料及复试情况确定录取名单，并报相关部门进行审核备案。经批准后，办理相关录取手续，并于2021年7月在天津商业大学本科招生工作办公室、台港澳事务办公室网站公布最终录取名单，发放学校录取通知书并通过报名邮箱通知被录取者。</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被录取者按照录取通知书上的时间和地点到学校报到。因故不能按时报到者，应提前向学校请假并获得批准。根据相关规定，未按时报到且未请假者，将被取消入学资格。</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七、费用及奖学金</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lastRenderedPageBreak/>
        <w:t>1. 台湾学生的学费与内地生相同，附件一所列招生专业收费标准为：4400元/学年（如政府对本年度收费标准进行调整，以政府规定的标准为准）。</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2. 台湾学生与内地生在同等住宿条件下，住宿费相同，标准为1200元/生/学年，依据具体住宿条件及当年公布的标准收取。</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3. 学生入校后，可申请校内各项奖学金及国家港澳台侨学生专项奖学金。</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八、入学资格审查</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新生入校后，将依据教育部有关文件规定进行新生资格审查和身体复查，经复查不合格者，学校将视情况予以处理，直至取消入学资格。凡发现以弄虚作假手段取得入学资格者，将取消其入学资格。</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b/>
          <w:bCs/>
          <w:color w:val="555555"/>
          <w:kern w:val="0"/>
          <w:sz w:val="28"/>
          <w:szCs w:val="28"/>
        </w:rPr>
        <w:t>九、联系方式</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学校地址：天津市北辰区光荣道409号</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邮政编码：邮编300134</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1. 天津商业大学台港澳事务办公室</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联系人：徐老师</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lastRenderedPageBreak/>
        <w:t>电话：86-22-26669516</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传真：86-22-26653169</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邮箱：taigangao@tjcu.edu.cn</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网址：http://ied.tjcu.edu.cn</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2. 天津商业大学本科招生工作办公室</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联系人：李老师</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电话：86-22-26656785</w:t>
      </w: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r w:rsidRPr="00F15E79">
        <w:rPr>
          <w:rFonts w:ascii="Microsoft YaHei" w:eastAsia="Microsoft YaHei" w:hAnsi="Microsoft YaHei" w:cs="SimSun" w:hint="eastAsia"/>
          <w:color w:val="555555"/>
          <w:kern w:val="0"/>
          <w:sz w:val="28"/>
          <w:szCs w:val="28"/>
        </w:rPr>
        <w:t>邮箱：tszsb1@tjcu.edu.cn</w:t>
      </w:r>
    </w:p>
    <w:p w:rsidR="00F15E79" w:rsidRDefault="00F15E79" w:rsidP="00F15E79">
      <w:pPr>
        <w:widowControl/>
        <w:shd w:val="clear" w:color="auto" w:fill="FFFFFF"/>
        <w:spacing w:after="100" w:afterAutospacing="1"/>
        <w:ind w:firstLine="480"/>
        <w:jc w:val="left"/>
        <w:rPr>
          <w:rFonts w:ascii="Microsoft YaHei" w:eastAsia="Microsoft YaHei" w:hAnsi="Microsoft YaHei" w:cs="SimSun"/>
          <w:color w:val="555555"/>
          <w:kern w:val="0"/>
          <w:sz w:val="28"/>
          <w:szCs w:val="28"/>
        </w:rPr>
      </w:pPr>
    </w:p>
    <w:p w:rsidR="00F15E79" w:rsidRPr="00F15E79" w:rsidRDefault="00F15E79" w:rsidP="00F15E79">
      <w:pPr>
        <w:widowControl/>
        <w:shd w:val="clear" w:color="auto" w:fill="FFFFFF"/>
        <w:spacing w:after="100" w:afterAutospacing="1"/>
        <w:ind w:firstLine="480"/>
        <w:jc w:val="left"/>
        <w:rPr>
          <w:rFonts w:ascii="Microsoft YaHei" w:eastAsia="Microsoft YaHei" w:hAnsi="Microsoft YaHei" w:cs="SimSun" w:hint="eastAsia"/>
          <w:color w:val="555555"/>
          <w:kern w:val="0"/>
          <w:sz w:val="28"/>
          <w:szCs w:val="28"/>
        </w:rPr>
      </w:pPr>
      <w:bookmarkStart w:id="0" w:name="_GoBack"/>
      <w:bookmarkEnd w:id="0"/>
      <w:r w:rsidRPr="00F15E79">
        <w:rPr>
          <w:rFonts w:ascii="Microsoft YaHei" w:eastAsia="Microsoft YaHei" w:hAnsi="Microsoft YaHei" w:cs="SimSun" w:hint="eastAsia"/>
          <w:color w:val="555555"/>
          <w:kern w:val="0"/>
          <w:sz w:val="28"/>
          <w:szCs w:val="28"/>
        </w:rPr>
        <w:t>网址：https://zs.tjcu.edu.cn/info/1020/2331.htm</w:t>
      </w:r>
    </w:p>
    <w:p w:rsidR="00F35E8F" w:rsidRPr="00F15E79" w:rsidRDefault="00F35E8F" w:rsidP="00F15E79"/>
    <w:sectPr w:rsidR="00F35E8F" w:rsidRPr="00F15E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79"/>
    <w:rsid w:val="00F15E79"/>
    <w:rsid w:val="00F3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CF83"/>
  <w15:chartTrackingRefBased/>
  <w15:docId w15:val="{A256EBBD-5512-44D1-8A42-552FD0F2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15E79"/>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15E79"/>
    <w:rPr>
      <w:rFonts w:ascii="SimSun" w:eastAsia="SimSun" w:hAnsi="SimSun" w:cs="SimSun"/>
      <w:b/>
      <w:bCs/>
      <w:kern w:val="36"/>
      <w:sz w:val="48"/>
      <w:szCs w:val="48"/>
    </w:rPr>
  </w:style>
  <w:style w:type="paragraph" w:customStyle="1" w:styleId="vsbcontentstart">
    <w:name w:val="vsbcontent_start"/>
    <w:basedOn w:val="a"/>
    <w:rsid w:val="00F15E79"/>
    <w:pPr>
      <w:widowControl/>
      <w:spacing w:before="100" w:beforeAutospacing="1" w:after="100" w:afterAutospacing="1"/>
      <w:jc w:val="left"/>
    </w:pPr>
    <w:rPr>
      <w:rFonts w:ascii="SimSun" w:eastAsia="SimSun" w:hAnsi="SimSun" w:cs="SimSun"/>
      <w:kern w:val="0"/>
      <w:sz w:val="24"/>
      <w:szCs w:val="24"/>
    </w:rPr>
  </w:style>
  <w:style w:type="character" w:styleId="a3">
    <w:name w:val="Strong"/>
    <w:basedOn w:val="a0"/>
    <w:uiPriority w:val="22"/>
    <w:qFormat/>
    <w:rsid w:val="00F15E79"/>
    <w:rPr>
      <w:b/>
      <w:bCs/>
    </w:rPr>
  </w:style>
  <w:style w:type="paragraph" w:styleId="Web">
    <w:name w:val="Normal (Web)"/>
    <w:basedOn w:val="a"/>
    <w:uiPriority w:val="99"/>
    <w:semiHidden/>
    <w:unhideWhenUsed/>
    <w:rsid w:val="00F15E79"/>
    <w:pPr>
      <w:widowControl/>
      <w:spacing w:before="100" w:beforeAutospacing="1" w:after="100" w:afterAutospacing="1"/>
      <w:jc w:val="left"/>
    </w:pPr>
    <w:rPr>
      <w:rFonts w:ascii="SimSun" w:eastAsia="SimSun" w:hAnsi="SimSun" w:cs="SimSun"/>
      <w:kern w:val="0"/>
      <w:sz w:val="24"/>
      <w:szCs w:val="24"/>
    </w:rPr>
  </w:style>
  <w:style w:type="paragraph" w:customStyle="1" w:styleId="vsbcontentend">
    <w:name w:val="vsbcontent_end"/>
    <w:basedOn w:val="a"/>
    <w:rsid w:val="00F15E79"/>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0143">
      <w:bodyDiv w:val="1"/>
      <w:marLeft w:val="0"/>
      <w:marRight w:val="0"/>
      <w:marTop w:val="0"/>
      <w:marBottom w:val="0"/>
      <w:divBdr>
        <w:top w:val="none" w:sz="0" w:space="0" w:color="auto"/>
        <w:left w:val="none" w:sz="0" w:space="0" w:color="auto"/>
        <w:bottom w:val="none" w:sz="0" w:space="0" w:color="auto"/>
        <w:right w:val="none" w:sz="0" w:space="0" w:color="auto"/>
      </w:divBdr>
      <w:divsChild>
        <w:div w:id="41131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珮琪</dc:creator>
  <cp:keywords/>
  <dc:description/>
  <cp:lastModifiedBy>李 珮琪</cp:lastModifiedBy>
  <cp:revision>1</cp:revision>
  <dcterms:created xsi:type="dcterms:W3CDTF">2021-02-18T00:45:00Z</dcterms:created>
  <dcterms:modified xsi:type="dcterms:W3CDTF">2021-02-18T00:47:00Z</dcterms:modified>
</cp:coreProperties>
</file>