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中国海洋大学2022年招收台湾高中毕业生简章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二、招生计划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计划招收台湾高中毕业生5人，具体招生专业或专业类见附件。我校可根据生源情况，对招生计划进行适当调整。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三、报名条件及办法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1.报名条件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同时具备如下条件：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（1）具有台湾居民居住证或《台湾居民来往大陆通行证》及在台湾居住的有效身份证明，考生所持证件须与考生本人信息一致，且在有效期之内。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（2）参加2022年台湾地区大学入学考试学科能力测验，且</w:t>
      </w:r>
      <w:bookmarkStart w:id="0" w:name="_GoBack"/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语文、数学、英文、自然（或社会）四门课的考试成绩均达前标级及以上</w:t>
      </w:r>
      <w:bookmarkEnd w:id="0"/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，具体要求见附件。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2.报名时间及方式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报名时间：2022年3月1日至31日。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报名方式：考生登录祖国（大陆）普通高校依据台湾地区学测成绩招收台湾高中毕业生报名系统（网址：https://www.gatzs.com.cn/z/tw/）进行报名。考生须按照要求输入个人信息，上传个人证件、电子照片、学测成绩、考生诚信承诺书等基本材料，提交成绩查验授权书及能够充分证明本人综合素质的其他证明材料。考生应准确填写个人网上报名信息并提供真实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四、志愿填报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志愿填报采取平行志愿方式。填报志愿前，考生须认真阅读报名系统操作指南。每位考生报名时可填报6所高校，每所高校可填报6个专业，并选择是否服从专业调剂。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五、资格审核及考核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1.资格审核。我校根据考生报名材料进行资格审核，考生应于4月15日前登录系统查看审核结果。系统显示初审通过的考生应关注学校后续考核通知。系统显示需更正或补充材料的，考生应在规定时间内更正或补充有关材料，提交后及时查看审核结果，逾期提交不再受理。系统显示初审不通过的考生不得参加考核和录取。资格造假的考生按有关规定取消报考资格，已考核的取消考核成绩，已录取的取消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2.考核。学校将组织专家对资格审查合格的考生进行考核，考核以面试方式进行。具体安排将另行通知，请考生及时关注中国海洋大学本科招生网（http://bkzs.ouc.edu.cn）和报名系统的相关通知。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六、录取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1.我校将根据考生的“学测”成绩和面试成绩及专业志愿择优确定拟录取考生名单和专业，拟录取名单将于5月15日在报名系统和中国海洋大学本科招生网公布，考生可于5月15日至19日期间登录系统查询本人录取情况，进行录取确认。逾期未确认的考生视为放弃录取资格，且不得参加征集志愿报名。如学校需征集志愿，相应安排以报名系统规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2.考生确认后，学校将办理相关录取手续，并拟于2022年7月发放录取通知书。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七、其它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1.新生入学报到时，须持有效的《台湾居民来往大陆通行证》，所持出入境证件的有效期应与学习期限相适应，报到时间以《录取通知书》上规定的时间为准。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2.被录取的学生入学时应缴纳学费和杂费，收费标准与内地学生相同，原则上与内地学生同住。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3.新生入校后，学校将依据教育部有关文件规定进行新生资格审查和身体复查，经复查不合格者，学校将视情况予以处理。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4.学生在校期间，按照《普通高等学校招收和培养香港特别行政区、澳门特别行政区及台湾地区学生的规定》（教港澳台〔2016〕96号）和《中国海洋大学全日制本科学生学籍管理规定（修订）》（海大教字〔2017〕55号）等相关规定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5．本简章由中国海洋大学本科生招生办公室负责解释，有关未尽事宜，按照教育部有关精神执行。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部门：中国海洋大学本科生招生办公室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地址：山东省青岛市崂山区松岭路238号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电话：86-532-66782426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传真：86-532-66782478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电邮：ouczsb@ouc.edu.cn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学校网址：http://www.ouc.edu.cn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t>招生网址：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instrText xml:space="preserve"> HYPERLINK "http://bkzs.ouc.edu.cn" </w:instrTex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fldChar w:fldCharType="separate"/>
      </w:r>
      <w:r>
        <w:rPr>
          <w:rStyle w:val="4"/>
          <w:rFonts w:hint="eastAsia" w:ascii="Microsoft YaHei" w:hAnsi="Microsoft YaHei" w:eastAsia="Microsoft YaHei" w:cs="Microsoft YaHei"/>
          <w:i w:val="0"/>
          <w:iCs w:val="0"/>
          <w:caps w:val="0"/>
          <w:spacing w:val="0"/>
          <w:sz w:val="24"/>
          <w:szCs w:val="24"/>
          <w:shd w:val="clear" w:fill="FFFFFF"/>
        </w:rPr>
        <w:t>http://bkzs.ouc.edu.cn</w:t>
      </w: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034DA2"/>
          <w:spacing w:val="0"/>
          <w:sz w:val="24"/>
          <w:szCs w:val="24"/>
          <w:shd w:val="clear" w:fill="FFFFFF"/>
          <w:lang w:val="en-US" w:eastAsia="zh-CN"/>
        </w:rPr>
        <w:t>网址：http://bkzs.ouc.edu.cn/2022/0221/c7210a362704/page.htm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16231"/>
    <w:rsid w:val="1CA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2022-02-24T16:24:00Z</dcterms:created>
  <dc:creator>阿Co</dc:creator>
  <cp:lastModifiedBy>阿Co</cp:lastModifiedBy>
  <dcterms:modified xsi:type="dcterms:W3CDTF">2022-02-24T16:27:46Z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C691AC0F239743EB8C099827929C1520</vt:lpwstr>
  </property>
</Properties>
</file>